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44" w:rsidRDefault="00141C44" w:rsidP="00141C44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141C44" w:rsidRDefault="00141C44" w:rsidP="00141C44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141C44" w:rsidRDefault="00141C44" w:rsidP="00141C44">
      <w:pPr>
        <w:rPr>
          <w:rFonts w:asciiTheme="majorHAnsi" w:hAnsiTheme="majorHAnsi" w:cstheme="majorHAnsi"/>
          <w:b/>
        </w:rPr>
      </w:pPr>
      <w:proofErr w:type="spellStart"/>
      <w:r>
        <w:rPr>
          <w:rFonts w:asciiTheme="majorHAnsi" w:hAnsiTheme="majorHAnsi" w:cstheme="majorHAnsi"/>
          <w:b/>
        </w:rPr>
        <w:t>Disciplina</w:t>
      </w:r>
      <w:proofErr w:type="spellEnd"/>
      <w:r>
        <w:rPr>
          <w:rFonts w:asciiTheme="majorHAnsi" w:hAnsiTheme="majorHAnsi" w:cstheme="majorHAnsi"/>
          <w:b/>
        </w:rPr>
        <w:t xml:space="preserve">: </w:t>
      </w:r>
      <w:proofErr w:type="spellStart"/>
      <w:r>
        <w:rPr>
          <w:rFonts w:asciiTheme="majorHAnsi" w:hAnsiTheme="majorHAnsi" w:cstheme="majorHAnsi"/>
        </w:rPr>
        <w:t>Musica</w:t>
      </w:r>
      <w:proofErr w:type="spellEnd"/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  <w:b/>
        </w:rPr>
        <w:t>Classe</w:t>
      </w:r>
      <w:proofErr w:type="spellEnd"/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</w:rPr>
        <w:t>Prima</w:t>
      </w:r>
      <w:r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b/>
        </w:rPr>
        <w:t xml:space="preserve">Anno </w:t>
      </w:r>
      <w:proofErr w:type="spellStart"/>
      <w:r>
        <w:rPr>
          <w:rFonts w:asciiTheme="majorHAnsi" w:hAnsiTheme="majorHAnsi" w:cstheme="majorHAnsi"/>
          <w:b/>
        </w:rPr>
        <w:t>scolastico</w:t>
      </w:r>
      <w:proofErr w:type="spellEnd"/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</w:rPr>
        <w:t>______________________</w:t>
      </w:r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  <w:b/>
        </w:rPr>
        <w:t>Docente</w:t>
      </w:r>
      <w:proofErr w:type="spellEnd"/>
      <w:r>
        <w:rPr>
          <w:rFonts w:asciiTheme="majorHAnsi" w:hAnsiTheme="majorHAnsi" w:cstheme="majorHAnsi"/>
          <w:b/>
        </w:rPr>
        <w:t xml:space="preserve">: </w:t>
      </w:r>
      <w:r>
        <w:rPr>
          <w:rFonts w:asciiTheme="majorHAnsi" w:hAnsiTheme="majorHAnsi" w:cstheme="majorHAnsi"/>
        </w:rPr>
        <w:t>_____________________________</w:t>
      </w:r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  <w:b/>
        </w:rPr>
        <w:t>Alunno</w:t>
      </w:r>
      <w:proofErr w:type="spellEnd"/>
      <w:r>
        <w:rPr>
          <w:rFonts w:asciiTheme="majorHAnsi" w:hAnsiTheme="majorHAnsi" w:cstheme="majorHAnsi"/>
          <w:b/>
        </w:rPr>
        <w:t xml:space="preserve">/a: </w:t>
      </w:r>
      <w:r>
        <w:rPr>
          <w:rFonts w:asciiTheme="majorHAnsi" w:hAnsiTheme="majorHAnsi" w:cstheme="majorHAnsi"/>
        </w:rPr>
        <w:t>____________________________</w:t>
      </w:r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  <w:b/>
        </w:rPr>
        <w:t>Periodo</w:t>
      </w:r>
      <w:proofErr w:type="spellEnd"/>
      <w:r>
        <w:rPr>
          <w:rFonts w:asciiTheme="majorHAnsi" w:hAnsiTheme="majorHAnsi" w:cstheme="majorHAnsi"/>
          <w:b/>
        </w:rPr>
        <w:t xml:space="preserve"> di </w:t>
      </w:r>
      <w:proofErr w:type="spellStart"/>
      <w:r>
        <w:rPr>
          <w:rFonts w:asciiTheme="majorHAnsi" w:hAnsiTheme="majorHAnsi" w:cstheme="majorHAnsi"/>
          <w:b/>
        </w:rPr>
        <w:t>osservazione</w:t>
      </w:r>
      <w:proofErr w:type="spellEnd"/>
      <w:r>
        <w:rPr>
          <w:rFonts w:asciiTheme="majorHAnsi" w:hAnsiTheme="majorHAnsi" w:cstheme="majorHAnsi"/>
          <w:b/>
        </w:rPr>
        <w:t>:</w:t>
      </w:r>
    </w:p>
    <w:p w:rsidR="00141C44" w:rsidRDefault="00141C44" w:rsidP="00141C4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 </w:t>
      </w:r>
      <w:r>
        <w:rPr>
          <w:rFonts w:ascii="Segoe UI Symbol" w:hAnsi="Segoe UI Symbol" w:cs="Segoe UI Symbol"/>
        </w:rPr>
        <w:t>☐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Settembre-Ottobre</w:t>
      </w:r>
      <w:proofErr w:type="spellEnd"/>
      <w:r>
        <w:rPr>
          <w:rFonts w:asciiTheme="majorHAnsi" w:hAnsiTheme="majorHAnsi" w:cstheme="majorHAnsi"/>
        </w:rPr>
        <w:t xml:space="preserve">   </w:t>
      </w:r>
    </w:p>
    <w:p w:rsidR="00141C44" w:rsidRDefault="00141C44" w:rsidP="00141C44">
      <w:pPr>
        <w:rPr>
          <w:rFonts w:asciiTheme="majorHAnsi" w:hAnsiTheme="majorHAnsi" w:cstheme="majorHAnsi"/>
        </w:rPr>
      </w:pPr>
      <w:r>
        <w:rPr>
          <w:rFonts w:ascii="Segoe UI Symbol" w:hAnsi="Segoe UI Symbol" w:cs="Segoe UI Symbol"/>
        </w:rPr>
        <w:t>☐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Novembre-Gennaio</w:t>
      </w:r>
      <w:proofErr w:type="spellEnd"/>
      <w:r>
        <w:rPr>
          <w:rFonts w:asciiTheme="majorHAnsi" w:hAnsiTheme="majorHAnsi" w:cstheme="majorHAnsi"/>
        </w:rPr>
        <w:t xml:space="preserve">   </w:t>
      </w:r>
    </w:p>
    <w:p w:rsidR="00141C44" w:rsidRDefault="00141C44" w:rsidP="00141C44">
      <w:pPr>
        <w:rPr>
          <w:rFonts w:asciiTheme="majorHAnsi" w:hAnsiTheme="majorHAnsi" w:cstheme="majorHAnsi"/>
        </w:rPr>
      </w:pPr>
      <w:r>
        <w:rPr>
          <w:rFonts w:ascii="Segoe UI Symbol" w:hAnsi="Segoe UI Symbol" w:cs="Segoe UI Symbol"/>
        </w:rPr>
        <w:t>☐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Febbraio-Marzo</w:t>
      </w:r>
      <w:proofErr w:type="spellEnd"/>
      <w:r>
        <w:rPr>
          <w:rFonts w:asciiTheme="majorHAnsi" w:hAnsiTheme="majorHAnsi" w:cstheme="majorHAnsi"/>
        </w:rPr>
        <w:t xml:space="preserve">  </w:t>
      </w:r>
    </w:p>
    <w:p w:rsidR="006E4C05" w:rsidRPr="00141C44" w:rsidRDefault="00141C4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="Segoe UI Symbol" w:hAnsi="Segoe UI Symbol" w:cs="Segoe UI Symbol"/>
        </w:rPr>
        <w:t>☐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0"/>
        <w:gridCol w:w="1707"/>
        <w:gridCol w:w="976"/>
        <w:gridCol w:w="930"/>
        <w:gridCol w:w="1021"/>
        <w:gridCol w:w="912"/>
        <w:gridCol w:w="1304"/>
      </w:tblGrid>
      <w:tr w:rsidR="006E4C05" w:rsidTr="00141C44">
        <w:tc>
          <w:tcPr>
            <w:tcW w:w="1780" w:type="dxa"/>
          </w:tcPr>
          <w:p w:rsidR="006E4C05" w:rsidRDefault="00141C44">
            <w:r>
              <w:t>Nucleo di riferimento</w:t>
            </w:r>
          </w:p>
        </w:tc>
        <w:tc>
          <w:tcPr>
            <w:tcW w:w="1707" w:type="dxa"/>
          </w:tcPr>
          <w:p w:rsidR="006E4C05" w:rsidRDefault="00141C44">
            <w:r>
              <w:t>Indicatori osservabili</w:t>
            </w:r>
          </w:p>
        </w:tc>
        <w:tc>
          <w:tcPr>
            <w:tcW w:w="1029" w:type="dxa"/>
          </w:tcPr>
          <w:p w:rsidR="006E4C05" w:rsidRDefault="00141C44">
            <w:r>
              <w:t>Sempre</w:t>
            </w:r>
          </w:p>
        </w:tc>
        <w:tc>
          <w:tcPr>
            <w:tcW w:w="993" w:type="dxa"/>
          </w:tcPr>
          <w:p w:rsidR="006E4C05" w:rsidRDefault="00141C44">
            <w:r>
              <w:t>Spesso</w:t>
            </w:r>
          </w:p>
        </w:tc>
        <w:tc>
          <w:tcPr>
            <w:tcW w:w="1065" w:type="dxa"/>
          </w:tcPr>
          <w:p w:rsidR="006E4C05" w:rsidRDefault="00141C44">
            <w:r>
              <w:t>Talvolta</w:t>
            </w:r>
          </w:p>
        </w:tc>
        <w:tc>
          <w:tcPr>
            <w:tcW w:w="978" w:type="dxa"/>
          </w:tcPr>
          <w:p w:rsidR="006E4C05" w:rsidRDefault="00141C44">
            <w:r>
              <w:t>Non ancora</w:t>
            </w:r>
          </w:p>
        </w:tc>
        <w:tc>
          <w:tcPr>
            <w:tcW w:w="1304" w:type="dxa"/>
          </w:tcPr>
          <w:p w:rsidR="006E4C05" w:rsidRDefault="00141C44">
            <w:r>
              <w:t>Annotazioni</w:t>
            </w:r>
          </w:p>
        </w:tc>
      </w:tr>
      <w:tr w:rsidR="00141C44" w:rsidTr="00141C44">
        <w:tc>
          <w:tcPr>
            <w:tcW w:w="1780" w:type="dxa"/>
            <w:vMerge w:val="restart"/>
          </w:tcPr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>
            <w:proofErr w:type="spellStart"/>
            <w:r>
              <w:t>Percezione</w:t>
            </w:r>
            <w:proofErr w:type="spellEnd"/>
            <w:r>
              <w:t xml:space="preserve"> e </w:t>
            </w:r>
            <w:proofErr w:type="spellStart"/>
            <w:r>
              <w:t>discriminazione</w:t>
            </w:r>
            <w:proofErr w:type="spellEnd"/>
          </w:p>
        </w:tc>
        <w:tc>
          <w:tcPr>
            <w:tcW w:w="1707" w:type="dxa"/>
          </w:tcPr>
          <w:p w:rsidR="00141C44" w:rsidRDefault="00141C44">
            <w:r>
              <w:t>Esplora, riconosce e discrimina eventi sonori e rumori d'ambiente in riferimento alla loro fonte.</w:t>
            </w:r>
          </w:p>
        </w:tc>
        <w:tc>
          <w:tcPr>
            <w:tcW w:w="1029" w:type="dxa"/>
          </w:tcPr>
          <w:p w:rsidR="00141C44" w:rsidRDefault="00141C44">
            <w:r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  <w:tr w:rsidR="00141C44" w:rsidTr="00141C44">
        <w:tc>
          <w:tcPr>
            <w:tcW w:w="1780" w:type="dxa"/>
            <w:vMerge/>
          </w:tcPr>
          <w:p w:rsidR="00141C44" w:rsidRDefault="00141C44"/>
        </w:tc>
        <w:tc>
          <w:tcPr>
            <w:tcW w:w="1707" w:type="dxa"/>
          </w:tcPr>
          <w:p w:rsidR="00141C44" w:rsidRDefault="00141C44">
            <w:r>
              <w:t>Discrimina gli elementi acustici in relazione a intensità, altezza, durata e timbro.</w:t>
            </w:r>
          </w:p>
        </w:tc>
        <w:tc>
          <w:tcPr>
            <w:tcW w:w="1029" w:type="dxa"/>
          </w:tcPr>
          <w:p w:rsidR="00141C44" w:rsidRDefault="00141C44">
            <w:r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  <w:tr w:rsidR="00141C44" w:rsidTr="00141C44">
        <w:tc>
          <w:tcPr>
            <w:tcW w:w="1780" w:type="dxa"/>
            <w:vMerge w:val="restart"/>
          </w:tcPr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>
            <w:proofErr w:type="spellStart"/>
            <w:r>
              <w:t>Esecuzione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espressione</w:t>
            </w:r>
            <w:proofErr w:type="spellEnd"/>
          </w:p>
        </w:tc>
        <w:tc>
          <w:tcPr>
            <w:tcW w:w="1707" w:type="dxa"/>
          </w:tcPr>
          <w:p w:rsidR="00141C44" w:rsidRDefault="00141C44">
            <w:r>
              <w:t>Utilizza la voce, i gesti e il corpo per riprodurre semplici sequenze ritmiche e cantare in coro.</w:t>
            </w:r>
          </w:p>
        </w:tc>
        <w:tc>
          <w:tcPr>
            <w:tcW w:w="1029" w:type="dxa"/>
          </w:tcPr>
          <w:p w:rsidR="00141C44" w:rsidRDefault="00141C44">
            <w:r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  <w:tr w:rsidR="00141C44" w:rsidTr="00141C44">
        <w:tc>
          <w:tcPr>
            <w:tcW w:w="1780" w:type="dxa"/>
            <w:vMerge/>
          </w:tcPr>
          <w:p w:rsidR="00141C44" w:rsidRDefault="00141C44"/>
        </w:tc>
        <w:tc>
          <w:tcPr>
            <w:tcW w:w="1707" w:type="dxa"/>
          </w:tcPr>
          <w:p w:rsidR="00141C44" w:rsidRDefault="00141C44">
            <w:r>
              <w:t xml:space="preserve">Esplora e improvvisa suoni con il corpo o con </w:t>
            </w:r>
            <w:r>
              <w:lastRenderedPageBreak/>
              <w:t>semplici strumenti costruiti con materiale povero.</w:t>
            </w:r>
          </w:p>
        </w:tc>
        <w:tc>
          <w:tcPr>
            <w:tcW w:w="1029" w:type="dxa"/>
          </w:tcPr>
          <w:p w:rsidR="00141C44" w:rsidRDefault="00141C44">
            <w:r>
              <w:lastRenderedPageBreak/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  <w:tr w:rsidR="00141C44" w:rsidTr="00141C44">
        <w:tc>
          <w:tcPr>
            <w:tcW w:w="1780" w:type="dxa"/>
            <w:vMerge w:val="restart"/>
          </w:tcPr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/>
          <w:p w:rsidR="00141C44" w:rsidRDefault="00141C44">
            <w:bookmarkStart w:id="0" w:name="_GoBack"/>
            <w:bookmarkEnd w:id="0"/>
            <w:proofErr w:type="spellStart"/>
            <w:r>
              <w:t>Rappresentazione</w:t>
            </w:r>
            <w:proofErr w:type="spellEnd"/>
            <w:r>
              <w:t xml:space="preserve"> e </w:t>
            </w:r>
            <w:proofErr w:type="spellStart"/>
            <w:r>
              <w:t>interpretazione</w:t>
            </w:r>
            <w:proofErr w:type="spellEnd"/>
          </w:p>
        </w:tc>
        <w:tc>
          <w:tcPr>
            <w:tcW w:w="1707" w:type="dxa"/>
          </w:tcPr>
          <w:p w:rsidR="00141C44" w:rsidRDefault="00141C44">
            <w:r>
              <w:t>Elabora forme libere di rappresentazione simbolica per la scrittura dei suoni d'aula.</w:t>
            </w:r>
          </w:p>
        </w:tc>
        <w:tc>
          <w:tcPr>
            <w:tcW w:w="1029" w:type="dxa"/>
          </w:tcPr>
          <w:p w:rsidR="00141C44" w:rsidRDefault="00141C44">
            <w:r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  <w:tr w:rsidR="00141C44" w:rsidTr="00141C44">
        <w:tc>
          <w:tcPr>
            <w:tcW w:w="1780" w:type="dxa"/>
            <w:vMerge/>
          </w:tcPr>
          <w:p w:rsidR="00141C44" w:rsidRDefault="00141C44"/>
        </w:tc>
        <w:tc>
          <w:tcPr>
            <w:tcW w:w="1707" w:type="dxa"/>
          </w:tcPr>
          <w:p w:rsidR="00141C44" w:rsidRDefault="00141C44">
            <w:r>
              <w:t>Sonorizza e interpreta immagini, gesti o testi espressivi attraverso codici musicali vocali e corporei.</w:t>
            </w:r>
          </w:p>
        </w:tc>
        <w:tc>
          <w:tcPr>
            <w:tcW w:w="1029" w:type="dxa"/>
          </w:tcPr>
          <w:p w:rsidR="00141C44" w:rsidRDefault="00141C44">
            <w:r>
              <w:t>□</w:t>
            </w:r>
          </w:p>
        </w:tc>
        <w:tc>
          <w:tcPr>
            <w:tcW w:w="993" w:type="dxa"/>
          </w:tcPr>
          <w:p w:rsidR="00141C44" w:rsidRDefault="00141C44">
            <w:r>
              <w:t>□</w:t>
            </w:r>
          </w:p>
        </w:tc>
        <w:tc>
          <w:tcPr>
            <w:tcW w:w="1065" w:type="dxa"/>
          </w:tcPr>
          <w:p w:rsidR="00141C44" w:rsidRDefault="00141C44">
            <w:r>
              <w:t>□</w:t>
            </w:r>
          </w:p>
        </w:tc>
        <w:tc>
          <w:tcPr>
            <w:tcW w:w="978" w:type="dxa"/>
          </w:tcPr>
          <w:p w:rsidR="00141C44" w:rsidRDefault="00141C44">
            <w:r>
              <w:t>□</w:t>
            </w:r>
          </w:p>
        </w:tc>
        <w:tc>
          <w:tcPr>
            <w:tcW w:w="1304" w:type="dxa"/>
          </w:tcPr>
          <w:p w:rsidR="00141C44" w:rsidRDefault="00141C44"/>
        </w:tc>
      </w:tr>
    </w:tbl>
    <w:p w:rsidR="006E4C05" w:rsidRDefault="006E4C05"/>
    <w:p w:rsidR="006E4C05" w:rsidRDefault="00141C44" w:rsidP="00141C44">
      <w:pPr>
        <w:jc w:val="both"/>
      </w:pPr>
      <w:r>
        <w:rPr>
          <w:b/>
        </w:rPr>
        <w:t xml:space="preserve">Nota: </w:t>
      </w:r>
      <w:r>
        <w:t xml:space="preserve">La presente griglia costituisce uno degli strumenti di osservazione sistematica previsti dal </w:t>
      </w:r>
      <w:r>
        <w:t>Protocollo di valutazione della Scuola Primaria. Nel rispetto dell'autonomia professionale dei docenti, gli indicatori osservabili possono essere integrati o specificati in relazione alla programmazione disciplinare, al Curricolo d'Istituto e alle esigenze</w:t>
      </w:r>
      <w:r>
        <w:t xml:space="preserve"> del gruppo classe, mantenendo invariata la struttura della griglia.</w:t>
      </w:r>
    </w:p>
    <w:sectPr w:rsidR="006E4C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1C44"/>
    <w:rsid w:val="0015074B"/>
    <w:rsid w:val="0029639D"/>
    <w:rsid w:val="00326F90"/>
    <w:rsid w:val="006E4C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B386A"/>
  <w14:defaultImageDpi w14:val="300"/>
  <w15:docId w15:val="{875FCE61-4EDF-4985-BCF3-F710B843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BD89F8-4650-49AF-B16B-3206DBE9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2026-07-04T18:04:00Z</dcterms:created>
  <dcterms:modified xsi:type="dcterms:W3CDTF">2026-07-04T18:04:00Z</dcterms:modified>
  <cp:category/>
</cp:coreProperties>
</file>